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10080" w:type="dxa"/>
        <w:tblLook w:val="01E0" w:firstRow="1" w:lastRow="1" w:firstColumn="1" w:lastColumn="1" w:noHBand="0" w:noVBand="0"/>
      </w:tblPr>
      <w:tblGrid>
        <w:gridCol w:w="4500"/>
        <w:gridCol w:w="5580"/>
      </w:tblGrid>
      <w:tr w:rsidR="007004E2" w:rsidTr="00921EA5">
        <w:tc>
          <w:tcPr>
            <w:tcW w:w="4500" w:type="dxa"/>
            <w:shd w:val="clear" w:color="auto" w:fill="auto"/>
          </w:tcPr>
          <w:p w:rsidR="007004E2" w:rsidRPr="00230712" w:rsidRDefault="007004E2" w:rsidP="00921EA5">
            <w:pPr>
              <w:shd w:val="clear" w:color="auto" w:fill="auto"/>
              <w:ind w:firstLine="0"/>
              <w:jc w:val="center"/>
              <w:rPr>
                <w:sz w:val="26"/>
                <w:szCs w:val="26"/>
              </w:rPr>
            </w:pPr>
            <w:r w:rsidRPr="00230712">
              <w:rPr>
                <w:sz w:val="26"/>
                <w:szCs w:val="26"/>
              </w:rPr>
              <w:t>PHÒNG GDĐT ĐẠI LỘC</w:t>
            </w:r>
          </w:p>
        </w:tc>
        <w:tc>
          <w:tcPr>
            <w:tcW w:w="5580" w:type="dxa"/>
            <w:shd w:val="clear" w:color="auto" w:fill="auto"/>
          </w:tcPr>
          <w:p w:rsidR="007004E2" w:rsidRDefault="007004E2" w:rsidP="00921EA5">
            <w:pPr>
              <w:shd w:val="clear" w:color="auto" w:fill="auto"/>
              <w:ind w:firstLine="0"/>
              <w:jc w:val="center"/>
            </w:pPr>
            <w:r w:rsidRPr="00230712">
              <w:rPr>
                <w:b/>
                <w:bCs/>
                <w:sz w:val="26"/>
                <w:szCs w:val="26"/>
              </w:rPr>
              <w:t>CỘNG HÒA</w:t>
            </w:r>
            <w:r w:rsidRPr="00230712">
              <w:rPr>
                <w:sz w:val="26"/>
                <w:szCs w:val="26"/>
              </w:rPr>
              <w:t xml:space="preserve"> X</w:t>
            </w:r>
            <w:r w:rsidRPr="00230712">
              <w:rPr>
                <w:b/>
                <w:bCs/>
                <w:sz w:val="26"/>
                <w:szCs w:val="26"/>
              </w:rPr>
              <w:t>Ã HỘI CHỦ NGHĨA VIỆT NAM</w:t>
            </w:r>
          </w:p>
        </w:tc>
      </w:tr>
      <w:tr w:rsidR="007004E2" w:rsidTr="00921EA5">
        <w:tc>
          <w:tcPr>
            <w:tcW w:w="4500" w:type="dxa"/>
            <w:shd w:val="clear" w:color="auto" w:fill="auto"/>
          </w:tcPr>
          <w:p w:rsidR="007004E2" w:rsidRPr="00DF3AC4" w:rsidRDefault="007004E2" w:rsidP="00AD4CD9">
            <w:pPr>
              <w:ind w:firstLine="0"/>
              <w:rPr>
                <w:b/>
                <w:bCs/>
                <w:spacing w:val="-12"/>
                <w:sz w:val="26"/>
                <w:szCs w:val="26"/>
                <w:lang w:val="vi-VN"/>
              </w:rPr>
            </w:pPr>
            <w:r>
              <w:rPr>
                <w:rFonts w:cs="Calibri"/>
                <w:noProof/>
              </w:rPr>
              <mc:AlternateContent>
                <mc:Choice Requires="wps">
                  <w:drawing>
                    <wp:anchor distT="0" distB="0" distL="114300" distR="114300" simplePos="0" relativeHeight="251660288" behindDoc="0" locked="0" layoutInCell="1" allowOverlap="1" wp14:anchorId="188A9373" wp14:editId="17475296">
                      <wp:simplePos x="0" y="0"/>
                      <wp:positionH relativeFrom="column">
                        <wp:posOffset>891540</wp:posOffset>
                      </wp:positionH>
                      <wp:positionV relativeFrom="paragraph">
                        <wp:posOffset>241935</wp:posOffset>
                      </wp:positionV>
                      <wp:extent cx="9144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9.05pt" to="142.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"/>
                  </w:pict>
                </mc:Fallback>
              </mc:AlternateContent>
            </w:r>
            <w:r w:rsidR="00DF3AC4">
              <w:rPr>
                <w:b/>
                <w:bCs/>
                <w:spacing w:val="-12"/>
                <w:sz w:val="26"/>
                <w:szCs w:val="26"/>
                <w:lang w:val="vi-VN"/>
              </w:rPr>
              <w:t xml:space="preserve">             </w:t>
            </w:r>
            <w:r w:rsidRPr="00230712">
              <w:rPr>
                <w:b/>
                <w:bCs/>
                <w:spacing w:val="-12"/>
                <w:sz w:val="26"/>
                <w:szCs w:val="26"/>
              </w:rPr>
              <w:t xml:space="preserve">TRƯỜNG </w:t>
            </w:r>
            <w:r w:rsidR="00DF3AC4">
              <w:rPr>
                <w:b/>
                <w:bCs/>
                <w:spacing w:val="-12"/>
                <w:sz w:val="26"/>
                <w:szCs w:val="26"/>
              </w:rPr>
              <w:t>TH</w:t>
            </w:r>
            <w:r w:rsidR="00DF3AC4">
              <w:rPr>
                <w:b/>
                <w:bCs/>
                <w:spacing w:val="-12"/>
                <w:sz w:val="26"/>
                <w:szCs w:val="26"/>
                <w:lang w:val="vi-VN"/>
              </w:rPr>
              <w:t xml:space="preserve"> HỨA TẠO</w:t>
            </w:r>
          </w:p>
        </w:tc>
        <w:tc>
          <w:tcPr>
            <w:tcW w:w="5580" w:type="dxa"/>
            <w:shd w:val="clear" w:color="auto" w:fill="auto"/>
          </w:tcPr>
          <w:p w:rsidR="007004E2" w:rsidRPr="00230712" w:rsidRDefault="007004E2" w:rsidP="00921EA5">
            <w:pPr>
              <w:shd w:val="clear" w:color="auto" w:fill="auto"/>
              <w:ind w:firstLine="0"/>
              <w:jc w:val="center"/>
              <w:rPr>
                <w:b/>
                <w:bCs/>
              </w:rPr>
            </w:pPr>
            <w:r>
              <w:rPr>
                <w:rFonts w:cs="Calibri"/>
                <w:noProof/>
              </w:rPr>
              <mc:AlternateContent>
                <mc:Choice Requires="wps">
                  <w:drawing>
                    <wp:anchor distT="0" distB="0" distL="114300" distR="114300" simplePos="0" relativeHeight="251659264" behindDoc="0" locked="0" layoutInCell="1" allowOverlap="1" wp14:anchorId="2637F3A0" wp14:editId="4B89FE44">
                      <wp:simplePos x="0" y="0"/>
                      <wp:positionH relativeFrom="column">
                        <wp:posOffset>653415</wp:posOffset>
                      </wp:positionH>
                      <wp:positionV relativeFrom="paragraph">
                        <wp:posOffset>243205</wp:posOffset>
                      </wp:positionV>
                      <wp:extent cx="2105025"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9.15pt" to="217.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"/>
                  </w:pict>
                </mc:Fallback>
              </mc:AlternateContent>
            </w:r>
            <w:r w:rsidRPr="00230712">
              <w:rPr>
                <w:b/>
                <w:bCs/>
              </w:rPr>
              <w:t>Độc lập -Tự do - Hạnh phúc</w:t>
            </w:r>
          </w:p>
        </w:tc>
      </w:tr>
      <w:tr w:rsidR="007004E2" w:rsidTr="00921EA5">
        <w:tc>
          <w:tcPr>
            <w:tcW w:w="4500" w:type="dxa"/>
            <w:shd w:val="clear" w:color="auto" w:fill="auto"/>
          </w:tcPr>
          <w:p w:rsidR="007004E2" w:rsidRPr="00DF3AC4" w:rsidRDefault="00DF3AC4" w:rsidP="00AD4CD9">
            <w:pPr>
              <w:ind w:firstLine="0"/>
              <w:jc w:val="center"/>
              <w:rPr>
                <w:lang w:val="vi-VN"/>
              </w:rPr>
            </w:pPr>
            <w:r>
              <w:t>Số:  40</w:t>
            </w:r>
            <w:r w:rsidR="007004E2" w:rsidRPr="00A31FAD">
              <w:t xml:space="preserve"> /</w:t>
            </w:r>
            <w:r w:rsidR="007004E2">
              <w:t>KH</w:t>
            </w:r>
            <w:r>
              <w:rPr>
                <w:lang w:val="vi-VN"/>
              </w:rPr>
              <w:t>-HT</w:t>
            </w:r>
          </w:p>
        </w:tc>
        <w:tc>
          <w:tcPr>
            <w:tcW w:w="5580" w:type="dxa"/>
            <w:shd w:val="clear" w:color="auto" w:fill="auto"/>
          </w:tcPr>
          <w:p w:rsidR="007004E2" w:rsidRPr="009751B1" w:rsidRDefault="00DF3AC4" w:rsidP="00DF3AC4">
            <w:pPr>
              <w:shd w:val="clear" w:color="auto" w:fill="auto"/>
              <w:ind w:firstLine="0"/>
              <w:jc w:val="center"/>
            </w:pPr>
            <w:r>
              <w:rPr>
                <w:i/>
                <w:iCs/>
              </w:rPr>
              <w:t>Ái</w:t>
            </w:r>
            <w:r>
              <w:rPr>
                <w:i/>
                <w:iCs/>
                <w:lang w:val="vi-VN"/>
              </w:rPr>
              <w:t xml:space="preserve"> Nghĩa</w:t>
            </w:r>
            <w:r>
              <w:rPr>
                <w:i/>
                <w:iCs/>
              </w:rPr>
              <w:t>, ngày 05  tháng 9</w:t>
            </w:r>
            <w:r w:rsidR="007004E2" w:rsidRPr="00230712">
              <w:rPr>
                <w:i/>
                <w:iCs/>
              </w:rPr>
              <w:t xml:space="preserve">  năm </w:t>
            </w:r>
            <w:r>
              <w:rPr>
                <w:i/>
                <w:iCs/>
              </w:rPr>
              <w:t>2023</w:t>
            </w:r>
          </w:p>
        </w:tc>
      </w:tr>
    </w:tbl>
    <w:p w:rsidR="007004E2" w:rsidRDefault="007004E2" w:rsidP="007004E2">
      <w:pPr>
        <w:spacing w:before="0" w:after="0"/>
        <w:ind w:firstLine="0"/>
        <w:jc w:val="center"/>
        <w:rPr>
          <w:b/>
          <w:bCs/>
        </w:rPr>
      </w:pPr>
    </w:p>
    <w:p w:rsidR="007004E2" w:rsidRPr="00A67CF2" w:rsidRDefault="007004E2" w:rsidP="007004E2">
      <w:pPr>
        <w:spacing w:before="0" w:after="0"/>
        <w:ind w:firstLine="0"/>
        <w:jc w:val="center"/>
        <w:rPr>
          <w:b/>
          <w:bCs/>
        </w:rPr>
      </w:pPr>
      <w:r w:rsidRPr="00A67CF2">
        <w:rPr>
          <w:b/>
          <w:bCs/>
        </w:rPr>
        <w:t>KẾ HOẠCH</w:t>
      </w:r>
    </w:p>
    <w:p w:rsidR="007004E2" w:rsidRPr="00A67CF2" w:rsidRDefault="007004E2" w:rsidP="007004E2">
      <w:pPr>
        <w:spacing w:before="0" w:after="0"/>
        <w:ind w:firstLine="0"/>
        <w:jc w:val="center"/>
        <w:rPr>
          <w:b/>
          <w:bCs/>
        </w:rPr>
      </w:pPr>
      <w:r>
        <w:rPr>
          <w:b/>
          <w:bCs/>
        </w:rPr>
        <w:t>Thực hiện công khai</w:t>
      </w:r>
    </w:p>
    <w:p w:rsidR="007004E2" w:rsidRDefault="007004E2" w:rsidP="007004E2">
      <w:pPr>
        <w:pStyle w:val="TOC1"/>
      </w:pPr>
      <w:r>
        <w:rPr>
          <w:noProof/>
        </w:rPr>
        <mc:AlternateContent>
          <mc:Choice Requires="wps">
            <w:drawing>
              <wp:anchor distT="0" distB="0" distL="114300" distR="114300" simplePos="0" relativeHeight="251661312" behindDoc="0" locked="0" layoutInCell="1" allowOverlap="1" wp14:anchorId="07EC58F0" wp14:editId="111CA7B0">
                <wp:simplePos x="0" y="0"/>
                <wp:positionH relativeFrom="column">
                  <wp:posOffset>2409825</wp:posOffset>
                </wp:positionH>
                <wp:positionV relativeFrom="paragraph">
                  <wp:posOffset>23495</wp:posOffset>
                </wp:positionV>
                <wp:extent cx="960120" cy="0"/>
                <wp:effectExtent l="13335" t="13970"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9.75pt;margin-top:1.85pt;width:7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"/>
            </w:pict>
          </mc:Fallback>
        </mc:AlternateContent>
      </w:r>
    </w:p>
    <w:p w:rsidR="007004E2" w:rsidRPr="00BF326D" w:rsidRDefault="007004E2" w:rsidP="007004E2">
      <w:pPr>
        <w:pStyle w:val="TOC1"/>
      </w:pPr>
      <w:r>
        <w:t>Căn cứ</w:t>
      </w:r>
      <w:r w:rsidRPr="00BF326D">
        <w:t xml:space="preserve"> Thông tư số </w:t>
      </w:r>
      <w:r>
        <w:t>36</w:t>
      </w:r>
      <w:r w:rsidRPr="00BF326D">
        <w:t>/20</w:t>
      </w:r>
      <w:r>
        <w:t>17</w:t>
      </w:r>
      <w:r w:rsidRPr="00BF326D">
        <w:t xml:space="preserve">/TT-BGDĐT ngày </w:t>
      </w:r>
      <w:r>
        <w:t>28/12/2017</w:t>
      </w:r>
      <w:r w:rsidRPr="00BF326D">
        <w:t xml:space="preserve"> của Bộ Giáo dục và Đào tạo về việc ban hành Quy chế thực hiện công khai đối với cơ sở giáo dục </w:t>
      </w:r>
      <w:r>
        <w:t xml:space="preserve">và đào tạo thuộc </w:t>
      </w:r>
      <w:r w:rsidRPr="00BF326D">
        <w:t>hệ thống giáo dục quốc dân;</w:t>
      </w:r>
    </w:p>
    <w:p w:rsidR="007004E2" w:rsidRDefault="007004E2" w:rsidP="007004E2">
      <w:pPr>
        <w:spacing w:before="120" w:after="120"/>
        <w:rPr>
          <w:lang w:val="vi-VN"/>
        </w:rPr>
      </w:pPr>
      <w:r>
        <w:t>Căn cứ</w:t>
      </w:r>
      <w:r w:rsidRPr="00BF326D">
        <w:t xml:space="preserve"> Thông tư số </w:t>
      </w:r>
      <w:r>
        <w:t>61</w:t>
      </w:r>
      <w:r w:rsidRPr="00BF326D">
        <w:t>/20</w:t>
      </w:r>
      <w:r>
        <w:t>17</w:t>
      </w:r>
      <w:r w:rsidRPr="00BF326D">
        <w:t>/TT-BT</w:t>
      </w:r>
      <w:r>
        <w:t>C</w:t>
      </w:r>
      <w:r w:rsidRPr="00BF326D">
        <w:t xml:space="preserve"> ngày </w:t>
      </w:r>
      <w:r>
        <w:t>15/6/2017</w:t>
      </w:r>
      <w:r w:rsidRPr="00BF326D">
        <w:t xml:space="preserve"> của Bộ </w:t>
      </w:r>
      <w:r>
        <w:t>Tài chính</w:t>
      </w:r>
      <w:r w:rsidRPr="00BF326D">
        <w:t xml:space="preserve"> </w:t>
      </w:r>
      <w:r>
        <w:t>hướng dẫn về công khai ngân sách đối với đơn vị dự toán ngân sách</w:t>
      </w:r>
      <w:r w:rsidRPr="00BF326D">
        <w:t>;</w:t>
      </w:r>
      <w:r>
        <w:t xml:space="preserve"> tổ chức được ngân sách nhà nước hỗ trợ;</w:t>
      </w:r>
    </w:p>
    <w:p w:rsidR="00FE3D5B" w:rsidRPr="008B04AC" w:rsidRDefault="00FE3D5B" w:rsidP="00FE3D5B">
      <w:pPr>
        <w:spacing w:before="120" w:after="120"/>
        <w:rPr>
          <w:lang w:val="vi-VN"/>
        </w:rPr>
      </w:pPr>
      <w:r>
        <w:t>Căn cứ</w:t>
      </w:r>
      <w:r w:rsidRPr="00BF326D">
        <w:t xml:space="preserve"> Thông tư số </w:t>
      </w:r>
      <w:r>
        <w:t>90</w:t>
      </w:r>
      <w:r w:rsidRPr="00BF326D">
        <w:t>/</w:t>
      </w:r>
      <w:r>
        <w:t>2018</w:t>
      </w:r>
      <w:r w:rsidRPr="00BF326D">
        <w:t>/TT-BT</w:t>
      </w:r>
      <w:r>
        <w:t>C</w:t>
      </w:r>
      <w:r w:rsidRPr="00BF326D">
        <w:t xml:space="preserve"> ngày </w:t>
      </w:r>
      <w:r>
        <w:t>28</w:t>
      </w:r>
      <w:r>
        <w:t>/</w:t>
      </w:r>
      <w:r>
        <w:t>9</w:t>
      </w:r>
      <w:r>
        <w:t>/</w:t>
      </w:r>
      <w:r w:rsidR="008B04AC">
        <w:t>2018</w:t>
      </w:r>
      <w:r w:rsidRPr="00BF326D">
        <w:t xml:space="preserve"> của Bộ </w:t>
      </w:r>
      <w:r>
        <w:t>Tài chính</w:t>
      </w:r>
      <w:r w:rsidRPr="00BF326D">
        <w:t xml:space="preserve"> </w:t>
      </w:r>
      <w:r w:rsidR="008B04AC">
        <w:t>sửa</w:t>
      </w:r>
      <w:r w:rsidR="008B04AC">
        <w:rPr>
          <w:lang w:val="vi-VN"/>
        </w:rPr>
        <w:t xml:space="preserve"> đổi bổ sung một số điều của thông tư 61/2017/TT-BTC ngày 15/6/2017 của bộ tài chính hướng dẫn về công khai ngân sách đối với các đơn vị dự toán ngân sách, các tổ chức được ngân sách hỗ trợ;</w:t>
      </w:r>
    </w:p>
    <w:p w:rsidR="007004E2" w:rsidRPr="00D1739E" w:rsidRDefault="007004E2" w:rsidP="007004E2">
      <w:pPr>
        <w:pStyle w:val="TOC1"/>
      </w:pPr>
      <w:r>
        <w:t>Căn cứ</w:t>
      </w:r>
      <w:r w:rsidRPr="00BF326D">
        <w:t xml:space="preserve"> Thông tư số </w:t>
      </w:r>
      <w:r>
        <w:t>144</w:t>
      </w:r>
      <w:r w:rsidRPr="00BF326D">
        <w:t>/20</w:t>
      </w:r>
      <w:r>
        <w:t>17</w:t>
      </w:r>
      <w:r w:rsidRPr="00BF326D">
        <w:t>/TT-BT</w:t>
      </w:r>
      <w:r>
        <w:t>C</w:t>
      </w:r>
      <w:r w:rsidRPr="00BF326D">
        <w:t xml:space="preserve"> ngày </w:t>
      </w:r>
      <w:r>
        <w:t>29/12/2017</w:t>
      </w:r>
      <w:r w:rsidRPr="00BF326D">
        <w:t xml:space="preserve"> của Bộ </w:t>
      </w:r>
      <w:r>
        <w:t>Tài chính</w:t>
      </w:r>
      <w:r w:rsidRPr="00BF326D">
        <w:t xml:space="preserve"> </w:t>
      </w:r>
      <w:r>
        <w:t>hướng dẫn một số nội dung của Nghị định 151/2017/NĐ-CP ngày 26/12/2017 của Chính phủ quy định chi tiết một số điều của Luật Quản lý, sử dụng tài sản công;</w:t>
      </w:r>
    </w:p>
    <w:p w:rsidR="007004E2" w:rsidRPr="00BF326D" w:rsidRDefault="007004E2" w:rsidP="007004E2">
      <w:pPr>
        <w:spacing w:before="120" w:after="120"/>
      </w:pPr>
      <w:r w:rsidRPr="00BF326D">
        <w:t xml:space="preserve">Trường </w:t>
      </w:r>
      <w:r w:rsidR="004C4FAE">
        <w:t>Tiểu học</w:t>
      </w:r>
      <w:r w:rsidR="004C4FAE">
        <w:rPr>
          <w:lang w:val="vi-VN"/>
        </w:rPr>
        <w:t xml:space="preserve"> Hứa Tạo </w:t>
      </w:r>
      <w:r w:rsidRPr="00BF326D">
        <w:t>xây dựng kế hoạch thực hiện công khai</w:t>
      </w:r>
      <w:r>
        <w:t xml:space="preserve"> </w:t>
      </w:r>
      <w:r w:rsidRPr="00BF326D">
        <w:t>như sau:</w:t>
      </w:r>
    </w:p>
    <w:p w:rsidR="007004E2" w:rsidRPr="00A67CF2" w:rsidRDefault="007004E2" w:rsidP="007004E2">
      <w:pPr>
        <w:spacing w:before="120" w:after="120"/>
        <w:rPr>
          <w:b/>
          <w:bCs/>
        </w:rPr>
      </w:pPr>
      <w:r>
        <w:rPr>
          <w:b/>
          <w:bCs/>
        </w:rPr>
        <w:t>I. MỤC TIÊU</w:t>
      </w:r>
    </w:p>
    <w:p w:rsidR="007004E2" w:rsidRPr="003A5B3C" w:rsidRDefault="00FA09EE" w:rsidP="007004E2">
      <w:pPr>
        <w:spacing w:before="120" w:after="120"/>
        <w:rPr>
          <w:bCs/>
        </w:rPr>
      </w:pPr>
      <w:r>
        <w:rPr>
          <w:bCs/>
        </w:rPr>
        <w:t>1.</w:t>
      </w:r>
      <w:r w:rsidR="007004E2">
        <w:rPr>
          <w:bCs/>
        </w:rPr>
        <w:t xml:space="preserve"> </w:t>
      </w:r>
      <w:r w:rsidR="007004E2" w:rsidRPr="003A5B3C">
        <w:rPr>
          <w:bCs/>
        </w:rPr>
        <w:t>Để người học, cơ quan quản lý nhà nước có thẩm quyền và xã hội tham gia giám sát và đánh giá các cơ sở giáo dục và đào tạo theo quy định của pháp luật.</w:t>
      </w:r>
    </w:p>
    <w:p w:rsidR="007004E2" w:rsidRDefault="00FA09EE" w:rsidP="007004E2">
      <w:pPr>
        <w:spacing w:before="120" w:after="120"/>
        <w:rPr>
          <w:bCs/>
        </w:rPr>
      </w:pPr>
      <w:r>
        <w:rPr>
          <w:bCs/>
        </w:rPr>
        <w:t>2.</w:t>
      </w:r>
      <w:r w:rsidR="007004E2">
        <w:rPr>
          <w:bCs/>
        </w:rPr>
        <w:t xml:space="preserve"> </w:t>
      </w:r>
      <w:r w:rsidR="007004E2" w:rsidRPr="003A5B3C">
        <w:rPr>
          <w:bCs/>
        </w:rPr>
        <w:t>Nhằm nâng cao tính minh bạch, phát huy dân chủ, tăng cường tính tự chủ và tự chịu trách nhiệm của các cơ sở giáo dục và đào tạo trong quản lý nguồn lực và đảm bảo chất lượng giáo dục và đào tạo</w:t>
      </w:r>
      <w:r w:rsidR="007004E2">
        <w:rPr>
          <w:bCs/>
        </w:rPr>
        <w:t>.</w:t>
      </w:r>
    </w:p>
    <w:p w:rsidR="007004E2" w:rsidRPr="007004E2" w:rsidRDefault="007004E2" w:rsidP="007004E2">
      <w:pPr>
        <w:pStyle w:val="TOC1"/>
        <w:rPr>
          <w:b/>
        </w:rPr>
      </w:pPr>
      <w:r w:rsidRPr="007004E2">
        <w:rPr>
          <w:b/>
        </w:rPr>
        <w:t>II. NGUYÊN TẮC</w:t>
      </w:r>
    </w:p>
    <w:p w:rsidR="007004E2" w:rsidRDefault="007004E2" w:rsidP="007004E2">
      <w:pPr>
        <w:ind w:firstLine="0"/>
      </w:pPr>
      <w:r>
        <w:tab/>
      </w:r>
      <w:r w:rsidR="00FA09EE">
        <w:t>1.</w:t>
      </w:r>
      <w:r>
        <w:t xml:space="preserve"> </w:t>
      </w:r>
      <w:r w:rsidRPr="002D660C">
        <w:t>Đảm bảo đầy đủ các nội dung, hình thức và thời điểm công khai</w:t>
      </w:r>
      <w:r>
        <w:t xml:space="preserve"> theo</w:t>
      </w:r>
      <w:r w:rsidRPr="002D660C">
        <w:t xml:space="preserve"> quy định</w:t>
      </w:r>
    </w:p>
    <w:p w:rsidR="007004E2" w:rsidRPr="005D6EBF" w:rsidRDefault="00FA09EE" w:rsidP="007004E2">
      <w:pPr>
        <w:pStyle w:val="TOC1"/>
      </w:pPr>
      <w:r>
        <w:t>2.</w:t>
      </w:r>
      <w:r w:rsidR="007004E2" w:rsidRPr="005D6EBF">
        <w:t xml:space="preserve"> Thông tin được công khai phải chính xác, đầy đủ, kịp thời và dễ dàng tiếp cận.</w:t>
      </w:r>
    </w:p>
    <w:p w:rsidR="007004E2" w:rsidRPr="002D660C" w:rsidRDefault="00FA09EE" w:rsidP="007004E2">
      <w:r>
        <w:t>3.</w:t>
      </w:r>
      <w:r w:rsidR="007004E2">
        <w:t xml:space="preserve"> </w:t>
      </w:r>
      <w:r w:rsidR="007004E2" w:rsidRPr="002D660C">
        <w:t>Đảm bảo yêu cầu bảo vệ bí mật nhà nước theo quy định hiện hành</w:t>
      </w:r>
    </w:p>
    <w:p w:rsidR="007004E2" w:rsidRPr="00A67CF2" w:rsidRDefault="007004E2" w:rsidP="007004E2">
      <w:pPr>
        <w:spacing w:before="120" w:after="120"/>
        <w:rPr>
          <w:b/>
          <w:bCs/>
        </w:rPr>
      </w:pPr>
      <w:r w:rsidRPr="00A67CF2">
        <w:rPr>
          <w:b/>
          <w:bCs/>
        </w:rPr>
        <w:t xml:space="preserve">II. NỘI DUNG </w:t>
      </w:r>
      <w:r>
        <w:rPr>
          <w:b/>
          <w:bCs/>
        </w:rPr>
        <w:t>THỰC HIỆN</w:t>
      </w:r>
    </w:p>
    <w:p w:rsidR="00914A0D" w:rsidRPr="002D5C0B" w:rsidRDefault="00914A0D" w:rsidP="007004E2">
      <w:pPr>
        <w:spacing w:before="120" w:after="120"/>
        <w:rPr>
          <w:b/>
        </w:rPr>
      </w:pPr>
      <w:r w:rsidRPr="002D5C0B">
        <w:rPr>
          <w:b/>
          <w:bCs/>
        </w:rPr>
        <w:t xml:space="preserve">1. Công khai </w:t>
      </w:r>
      <w:r w:rsidRPr="002D5C0B">
        <w:rPr>
          <w:b/>
        </w:rPr>
        <w:t>theo quy định tại Thông tư số 36/2017/TT-</w:t>
      </w:r>
      <w:r w:rsidRPr="004C30EC">
        <w:rPr>
          <w:b/>
        </w:rPr>
        <w:t>BGDĐT ngày 28/12/2017 của Bộ Giáo dục và Đào tạo</w:t>
      </w:r>
      <w:r w:rsidR="004C30EC" w:rsidRPr="004C30EC">
        <w:rPr>
          <w:b/>
        </w:rPr>
        <w:t xml:space="preserve"> về việc ban hành Quy chế thực hiện công khai đối với cơ sở giáo dục và đào tạo thuộc hệ thống giáo dục quốc dân</w:t>
      </w:r>
    </w:p>
    <w:p w:rsidR="00914A0D" w:rsidRDefault="00572998" w:rsidP="00914A0D">
      <w:pPr>
        <w:pStyle w:val="TOC1"/>
      </w:pPr>
      <w:r>
        <w:lastRenderedPageBreak/>
        <w:t xml:space="preserve">- Công khai cam kết chất lượng giáo dục và chất lượng giáo dục thực tế </w:t>
      </w:r>
      <w:r w:rsidR="004D66E5">
        <w:t>(</w:t>
      </w:r>
      <w:r w:rsidR="003E4287">
        <w:t>B</w:t>
      </w:r>
      <w:r w:rsidR="004D66E5">
        <w:t xml:space="preserve">iểu mẫu </w:t>
      </w:r>
      <w:r w:rsidR="00267CBC">
        <w:t>05, 06</w:t>
      </w:r>
      <w:r w:rsidR="001E7692">
        <w:t xml:space="preserve"> </w:t>
      </w:r>
      <w:r w:rsidR="003E4287">
        <w:t>– Ban hành</w:t>
      </w:r>
      <w:r w:rsidR="001E7692">
        <w:t xml:space="preserve"> kèm Thông tư 36</w:t>
      </w:r>
      <w:r w:rsidR="001E7692" w:rsidRPr="00BF326D">
        <w:t>/20</w:t>
      </w:r>
      <w:r w:rsidR="001E7692">
        <w:t>17</w:t>
      </w:r>
      <w:r w:rsidR="001E7692" w:rsidRPr="00BF326D">
        <w:t>/TT-BGDĐT</w:t>
      </w:r>
      <w:r w:rsidR="002A110A">
        <w:t xml:space="preserve"> </w:t>
      </w:r>
      <w:r w:rsidR="002A110A" w:rsidRPr="00BF326D">
        <w:t xml:space="preserve">ngày </w:t>
      </w:r>
      <w:r w:rsidR="002A110A">
        <w:t>28/12/2017</w:t>
      </w:r>
      <w:r w:rsidR="002A110A" w:rsidRPr="00BF326D">
        <w:t xml:space="preserve"> của Bộ Giáo dục và Đào tạo</w:t>
      </w:r>
      <w:r w:rsidR="004D66E5">
        <w:t>)</w:t>
      </w:r>
    </w:p>
    <w:p w:rsidR="00267CBC" w:rsidRDefault="00267CBC" w:rsidP="00267CBC">
      <w:r>
        <w:t>- Công khai điều kiện đảm bảo chất lượng giáo dục</w:t>
      </w:r>
      <w:r w:rsidR="001E7692">
        <w:t xml:space="preserve"> (</w:t>
      </w:r>
      <w:r w:rsidR="003E4287">
        <w:t>B</w:t>
      </w:r>
      <w:r w:rsidR="001E7692">
        <w:t xml:space="preserve">iểu mẫu </w:t>
      </w:r>
      <w:r w:rsidR="00530EED">
        <w:t xml:space="preserve">07, 08 </w:t>
      </w:r>
      <w:r w:rsidR="003E4287">
        <w:t xml:space="preserve">- Ban hành </w:t>
      </w:r>
      <w:r w:rsidR="00530EED">
        <w:t xml:space="preserve"> kèm Thông tư 36</w:t>
      </w:r>
      <w:r w:rsidR="00530EED" w:rsidRPr="00BF326D">
        <w:t>/20</w:t>
      </w:r>
      <w:r w:rsidR="00530EED">
        <w:t>17</w:t>
      </w:r>
      <w:r w:rsidR="00530EED" w:rsidRPr="00BF326D">
        <w:t>/TT-BGDĐT</w:t>
      </w:r>
      <w:r w:rsidR="002A110A">
        <w:t xml:space="preserve"> </w:t>
      </w:r>
      <w:r w:rsidR="002A110A" w:rsidRPr="00BF326D">
        <w:t xml:space="preserve">ngày </w:t>
      </w:r>
      <w:r w:rsidR="002A110A">
        <w:t>28/12/2017</w:t>
      </w:r>
      <w:r w:rsidR="002A110A" w:rsidRPr="00BF326D">
        <w:t xml:space="preserve"> của Bộ Giáo dục và Đào tạo</w:t>
      </w:r>
      <w:r w:rsidR="001E7692">
        <w:t>)</w:t>
      </w:r>
    </w:p>
    <w:p w:rsidR="009325F6" w:rsidRDefault="009325F6" w:rsidP="009325F6">
      <w:pPr>
        <w:pStyle w:val="TOC1"/>
      </w:pPr>
      <w:r>
        <w:t>- Công khai thu-chi tài chính gồm:</w:t>
      </w:r>
    </w:p>
    <w:p w:rsidR="009325F6" w:rsidRPr="009325F6" w:rsidRDefault="003D0596" w:rsidP="003D0596">
      <w:pPr>
        <w:spacing w:before="120" w:after="120"/>
      </w:pPr>
      <w:r>
        <w:t xml:space="preserve">+ Công khai tài chính theo các quy định tại </w:t>
      </w:r>
      <w:r w:rsidRPr="00BF326D">
        <w:t xml:space="preserve">Thông tư số </w:t>
      </w:r>
      <w:r>
        <w:t>61</w:t>
      </w:r>
      <w:r w:rsidRPr="00BF326D">
        <w:t>/20</w:t>
      </w:r>
      <w:r>
        <w:t>17</w:t>
      </w:r>
      <w:r w:rsidRPr="00BF326D">
        <w:t>/TT-BT</w:t>
      </w:r>
      <w:r>
        <w:t>C</w:t>
      </w:r>
      <w:r w:rsidRPr="00BF326D">
        <w:t xml:space="preserve"> ngày </w:t>
      </w:r>
      <w:r>
        <w:t>15/6/2017</w:t>
      </w:r>
      <w:r w:rsidRPr="00BF326D">
        <w:t xml:space="preserve"> của Bộ </w:t>
      </w:r>
      <w:r>
        <w:t>Tài chính</w:t>
      </w:r>
      <w:r w:rsidRPr="00BF326D">
        <w:t xml:space="preserve"> </w:t>
      </w:r>
      <w:r>
        <w:t>hướng dẫn về công khai ngân sách đối với đơn vị dự toán ngân sách</w:t>
      </w:r>
      <w:r w:rsidRPr="00BF326D">
        <w:t>;</w:t>
      </w:r>
      <w:r>
        <w:t xml:space="preserve"> tổ chức được ngân sách nhà nước hỗ trợ và </w:t>
      </w:r>
      <w:r w:rsidRPr="00BF326D">
        <w:t xml:space="preserve">Thông tư số </w:t>
      </w:r>
      <w:r>
        <w:t>144</w:t>
      </w:r>
      <w:r w:rsidRPr="00BF326D">
        <w:t>/20</w:t>
      </w:r>
      <w:r>
        <w:t>17</w:t>
      </w:r>
      <w:r w:rsidRPr="00BF326D">
        <w:t>/TT-BT</w:t>
      </w:r>
      <w:r>
        <w:t>C</w:t>
      </w:r>
      <w:r w:rsidRPr="00BF326D">
        <w:t xml:space="preserve"> ngày </w:t>
      </w:r>
      <w:r>
        <w:t>29/12/2017</w:t>
      </w:r>
      <w:r w:rsidRPr="00BF326D">
        <w:t xml:space="preserve"> của Bộ </w:t>
      </w:r>
      <w:r>
        <w:t>Tài chính</w:t>
      </w:r>
      <w:r w:rsidRPr="00BF326D">
        <w:t xml:space="preserve"> </w:t>
      </w:r>
      <w:r>
        <w:t>hướng dẫn một số nội dung của Nghị định 151/2017/NĐ-CP ngày 26/12/2017 của Chính phủ quy định chi tiết một số điều của Luật Quản lý, sử dụng tài sản công;</w:t>
      </w:r>
    </w:p>
    <w:p w:rsidR="004D66E5" w:rsidRPr="004D66E5" w:rsidRDefault="003D0596" w:rsidP="004D66E5">
      <w:r>
        <w:t xml:space="preserve">+ </w:t>
      </w:r>
      <w:r w:rsidR="00C775E3" w:rsidRPr="00C775E3">
        <w:t>Công khai học phí và các khoản thu khác từ người học: mức thu học phí và các khoản thu khác theo từng năm học và dự kiến cho năm học tiếp theo</w:t>
      </w:r>
    </w:p>
    <w:p w:rsidR="00914A0D" w:rsidRDefault="00C775E3" w:rsidP="00914A0D">
      <w:pPr>
        <w:pStyle w:val="TOC1"/>
      </w:pPr>
      <w:r>
        <w:t>+ C</w:t>
      </w:r>
      <w:r w:rsidRPr="00C775E3">
        <w:t>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4D0BBC" w:rsidRDefault="004D0BBC" w:rsidP="004D0BBC">
      <w:r>
        <w:t xml:space="preserve">+ Chính sách và kết quả thực hiện chính sách hàng năm về trợ cấp và miễn, giảm học phí đối với người học thuộc diện được hưởng chính sách xã hội. </w:t>
      </w:r>
    </w:p>
    <w:p w:rsidR="004D0BBC" w:rsidRDefault="004D0BBC" w:rsidP="004D0BBC">
      <w:r>
        <w:t xml:space="preserve">+ Kết quả kiểm toán (nếu có) </w:t>
      </w:r>
    </w:p>
    <w:p w:rsidR="004D0BBC" w:rsidRDefault="004D0BBC" w:rsidP="004D0BBC">
      <w:r>
        <w:t>+ Chính sách học bổng và kết quả thực hiện trong từng năm học.</w:t>
      </w:r>
    </w:p>
    <w:p w:rsidR="007004E2" w:rsidRPr="003D25BA" w:rsidRDefault="007004E2" w:rsidP="003D25BA">
      <w:pPr>
        <w:spacing w:before="120" w:after="120"/>
        <w:rPr>
          <w:b/>
          <w:lang w:val="vi-VN"/>
        </w:rPr>
      </w:pPr>
      <w:r w:rsidRPr="004F4EAB">
        <w:rPr>
          <w:b/>
        </w:rPr>
        <w:t xml:space="preserve"> </w:t>
      </w:r>
      <w:r w:rsidR="004F4EAB" w:rsidRPr="004F4EAB">
        <w:rPr>
          <w:b/>
        </w:rPr>
        <w:t>2. Công khai theo quy định tại Thông tư số 61/2017/TT-BTC ngày 15/6/2017 của Bộ Tài chính hướng dẫn về công khai ngân sách đối với đơn vị dự toán ngân sách; tổ chức được ngân sách nhà nước hỗ trợ</w:t>
      </w:r>
      <w:r w:rsidR="003D25BA">
        <w:rPr>
          <w:b/>
          <w:lang w:val="vi-VN"/>
        </w:rPr>
        <w:t xml:space="preserve"> và </w:t>
      </w:r>
      <w:r w:rsidR="003D25BA" w:rsidRPr="003D25BA">
        <w:rPr>
          <w:b/>
        </w:rPr>
        <w:t>Thông tư số 90/2018/TT-BTC ngày 28/9/2018 của Bộ Tài chính sửa</w:t>
      </w:r>
      <w:r w:rsidR="003D25BA" w:rsidRPr="003D25BA">
        <w:rPr>
          <w:b/>
          <w:lang w:val="vi-VN"/>
        </w:rPr>
        <w:t xml:space="preserve"> đổi bổ sung một số điều của thông tư 61/2017/TT-BTC ngày 15/6/2017 của bộ tài chính hướng dẫn về công khai ngân sách đối với các đơn vị dự toán ngân sách, các tổ chức được ngân sách hỗ </w:t>
      </w:r>
      <w:r w:rsidR="003D25BA">
        <w:rPr>
          <w:b/>
          <w:lang w:val="vi-VN"/>
        </w:rPr>
        <w:t>trợ:</w:t>
      </w:r>
    </w:p>
    <w:p w:rsidR="004F4EAB" w:rsidRDefault="007F3403" w:rsidP="004F4EAB">
      <w:pPr>
        <w:pStyle w:val="TOC1"/>
      </w:pPr>
      <w:r>
        <w:t xml:space="preserve">- </w:t>
      </w:r>
      <w:r w:rsidRPr="007F3403">
        <w:t>Công khai dự toán ngân sách</w:t>
      </w:r>
      <w:r>
        <w:t xml:space="preserve"> hằng năm</w:t>
      </w:r>
      <w:r w:rsidR="002A110A">
        <w:t xml:space="preserve">. </w:t>
      </w:r>
      <w:r w:rsidR="003E4287">
        <w:t>(</w:t>
      </w:r>
      <w:r w:rsidR="003E4287" w:rsidRPr="003E4287">
        <w:t>Biểu số 2 - Ban hành kèm theo Thông tư số 61/2017/TT-BTC ngày 15</w:t>
      </w:r>
      <w:r w:rsidR="003E4287">
        <w:t>/</w:t>
      </w:r>
      <w:r w:rsidR="003E4287" w:rsidRPr="003E4287">
        <w:t>6</w:t>
      </w:r>
      <w:r w:rsidR="003E4287">
        <w:t>/</w:t>
      </w:r>
      <w:r w:rsidR="003E4287" w:rsidRPr="003E4287">
        <w:t>2017 của Bộ Tài chính</w:t>
      </w:r>
      <w:r w:rsidR="003E4287">
        <w:t>)</w:t>
      </w:r>
    </w:p>
    <w:p w:rsidR="00B12C60" w:rsidRDefault="00B12C60" w:rsidP="00B12C60">
      <w:r>
        <w:t xml:space="preserve">- </w:t>
      </w:r>
      <w:r w:rsidRPr="00B12C60">
        <w:t>Công khai số liệu và thuyết minh tình hình thực hiện dự toán ngân sách nhà nước</w:t>
      </w:r>
      <w:r w:rsidR="002A110A">
        <w:t xml:space="preserve"> (</w:t>
      </w:r>
      <w:r w:rsidR="002A110A" w:rsidRPr="002A110A">
        <w:t>Biểu số 3 - Ban hành kèm theo Thông tư số 61/2017/TT-BTC ngày 15 tháng 6 năm 2017 của Bộ Tài chính</w:t>
      </w:r>
      <w:r w:rsidR="002A110A">
        <w:t>)</w:t>
      </w:r>
    </w:p>
    <w:p w:rsidR="003D25BA" w:rsidRPr="003D25BA" w:rsidRDefault="00F245FC" w:rsidP="003D25BA">
      <w:pPr>
        <w:pStyle w:val="TOC1"/>
        <w:rPr>
          <w:lang w:val="vi-VN"/>
        </w:rPr>
      </w:pPr>
      <w:r>
        <w:t xml:space="preserve">- </w:t>
      </w:r>
      <w:r w:rsidRPr="00F245FC">
        <w:t>Công khai quyết toán ngân sách nhà nước</w:t>
      </w:r>
      <w:r w:rsidR="006D5736">
        <w:t xml:space="preserve"> (Biểu số 4</w:t>
      </w:r>
      <w:r w:rsidR="006D5736" w:rsidRPr="002A110A">
        <w:t xml:space="preserve"> - Ban hành kèm theo Thông tư số 61/2017/TT-BTC ngày 15 tháng 6 năm 2017 của Bộ Tài chính</w:t>
      </w:r>
      <w:r w:rsidR="006D5736">
        <w:t>)</w:t>
      </w:r>
    </w:p>
    <w:p w:rsidR="002F1C92" w:rsidRPr="00DF693D" w:rsidRDefault="002F1C92" w:rsidP="002F1C92">
      <w:pPr>
        <w:rPr>
          <w:b/>
        </w:rPr>
      </w:pPr>
      <w:r w:rsidRPr="00DF693D">
        <w:rPr>
          <w:b/>
        </w:rPr>
        <w:t xml:space="preserve">3. Công khai theo quy định tại Thông tư số 144/2017/TT-BTC ngày 29/12/2017 của Bộ Tài chính hướng dẫn một số nội dung của Nghị định </w:t>
      </w:r>
      <w:r w:rsidRPr="00DF693D">
        <w:rPr>
          <w:b/>
        </w:rPr>
        <w:lastRenderedPageBreak/>
        <w:t>151/2017/NĐ-CP ngày 26/12/2017 của Chính phủ quy định chi tiết một số điều của Luật Quản lý, sử dụng tài sản công</w:t>
      </w:r>
    </w:p>
    <w:p w:rsidR="001D3BC7" w:rsidRDefault="001D3BC7" w:rsidP="001D3BC7">
      <w:pPr>
        <w:pStyle w:val="TOC1"/>
      </w:pPr>
      <w:r>
        <w:t xml:space="preserve">- Công khai tình hình đầu tư xây dựng, mua sắm, giao, thuê tài sản công (Mẫu số 09a-CK/TSC - Ban hành kèm theo </w:t>
      </w:r>
      <w:r w:rsidRPr="001D3BC7">
        <w:t>Thông tư số 144/2017/TT-BTC ngày 29/12/2017 của Bộ Tài chính</w:t>
      </w:r>
      <w:r>
        <w:t>);</w:t>
      </w:r>
    </w:p>
    <w:p w:rsidR="001D3BC7" w:rsidRDefault="001D3BC7" w:rsidP="001D3BC7">
      <w:pPr>
        <w:pStyle w:val="TOC1"/>
      </w:pPr>
      <w:r>
        <w:t xml:space="preserve">- Công khai tình hình quản lý, sử dụng trụ sở làm việc, cơ sở hoạt động sự nghiệp (Mẫu số 09b-CK/TSC - Ban hành kèm theo </w:t>
      </w:r>
      <w:r w:rsidRPr="001D3BC7">
        <w:t>Thông tư số 144/2017/TT-BTC ngày 29/12/2017 của Bộ Tài chính</w:t>
      </w:r>
      <w:r>
        <w:t>);</w:t>
      </w:r>
    </w:p>
    <w:p w:rsidR="001D3BC7" w:rsidRDefault="001D3BC7" w:rsidP="001D3BC7">
      <w:pPr>
        <w:pStyle w:val="TOC1"/>
      </w:pPr>
      <w:r>
        <w:t xml:space="preserve">- Công khai tình hình quản lý, sử dụng xe ô tô và tài sản cố định khác (Mẫu số 09c-CK/TSC - Ban hành kèm theo </w:t>
      </w:r>
      <w:r w:rsidRPr="001D3BC7">
        <w:t>Thông tư số 144/2017/TT-BTC ngày 29/12/2017 của Bộ Tài chính</w:t>
      </w:r>
      <w:r>
        <w:t>)</w:t>
      </w:r>
    </w:p>
    <w:p w:rsidR="001D3BC7" w:rsidRDefault="001D3BC7" w:rsidP="001D3BC7">
      <w:pPr>
        <w:pStyle w:val="TOC1"/>
      </w:pPr>
      <w:r>
        <w:t xml:space="preserve">- Công khai tình hình xử lý tài sản công (Mẫu số 09d-CK/TSC - Ban hành kèm theo </w:t>
      </w:r>
      <w:r w:rsidRPr="001D3BC7">
        <w:t>Thông tư số 144/2017/TT-BTC ngày 29/12/2017 của Bộ Tài chính</w:t>
      </w:r>
      <w:r>
        <w:t>)</w:t>
      </w:r>
    </w:p>
    <w:p w:rsidR="002F1C92" w:rsidRPr="002F1C92" w:rsidRDefault="003E66A3" w:rsidP="001D3BC7">
      <w:pPr>
        <w:pStyle w:val="TOC1"/>
      </w:pPr>
      <w:r>
        <w:t>-</w:t>
      </w:r>
      <w:r w:rsidR="001D3BC7">
        <w:t xml:space="preserve"> Công khai tình hình khai thác nguồn lực tài chính từ tài sản công (Mẫu số 09đ-CK/TSC - Ban hành kèm theo </w:t>
      </w:r>
      <w:r w:rsidR="001D3BC7" w:rsidRPr="001D3BC7">
        <w:t>Thông tư số 144/2017/TT-BTC ngày 29/12/2017 của Bộ Tài chính</w:t>
      </w:r>
      <w:r w:rsidR="001D3BC7">
        <w:t>)</w:t>
      </w:r>
    </w:p>
    <w:p w:rsidR="007004E2" w:rsidRPr="00A67CF2" w:rsidRDefault="007004E2" w:rsidP="007004E2">
      <w:pPr>
        <w:spacing w:before="120" w:after="120"/>
        <w:rPr>
          <w:b/>
          <w:bCs/>
        </w:rPr>
      </w:pPr>
      <w:r w:rsidRPr="00A67CF2">
        <w:rPr>
          <w:b/>
          <w:bCs/>
        </w:rPr>
        <w:t>III. H</w:t>
      </w:r>
      <w:r w:rsidR="00093E4E">
        <w:rPr>
          <w:b/>
          <w:bCs/>
        </w:rPr>
        <w:t>ÌNH THỨC VÀ THỜI ĐIỂM CÔNG KHAI</w:t>
      </w:r>
    </w:p>
    <w:p w:rsidR="006C2135" w:rsidRPr="00CD32F9" w:rsidRDefault="006C2135" w:rsidP="007004E2">
      <w:pPr>
        <w:spacing w:before="120" w:after="120"/>
        <w:rPr>
          <w:b/>
        </w:rPr>
      </w:pPr>
      <w:r w:rsidRPr="00CD32F9">
        <w:rPr>
          <w:b/>
        </w:rPr>
        <w:t xml:space="preserve">1. Đối với các nội dung quy định tại </w:t>
      </w:r>
      <w:r w:rsidR="00325A1D" w:rsidRPr="00CD32F9">
        <w:rPr>
          <w:b/>
        </w:rPr>
        <w:t>Thông tư 36/2017/TT-BGDĐT ngày 28/12/2017 của Bộ Giáo dục và Đào tạo</w:t>
      </w:r>
    </w:p>
    <w:p w:rsidR="006C2135" w:rsidRDefault="00FB3B96" w:rsidP="007004E2">
      <w:pPr>
        <w:spacing w:before="120" w:after="120"/>
      </w:pPr>
      <w:r>
        <w:t>-</w:t>
      </w:r>
      <w:r w:rsidR="006C2135" w:rsidRPr="006C2135">
        <w:t xml:space="preserve"> Công khai trên trang thông tin điện tử của </w:t>
      </w:r>
      <w:r w:rsidR="00D15207">
        <w:t>trường</w:t>
      </w:r>
      <w:r w:rsidR="006C2135" w:rsidRPr="006C2135">
        <w:t xml:space="preserve"> vào tháng 6 hằng năm, đảm bảo tính đầy đủ, chính xác và kịp thời trước khi khai giảng năm học hoặc khi có thay đổi nội dung liên quan</w:t>
      </w:r>
    </w:p>
    <w:p w:rsidR="006C2135" w:rsidRDefault="00FB3B96" w:rsidP="006C2135">
      <w:pPr>
        <w:pStyle w:val="TOC1"/>
      </w:pPr>
      <w:r>
        <w:t>-</w:t>
      </w:r>
      <w:r w:rsidR="006C2135" w:rsidRPr="006C2135">
        <w:t xml:space="preserve"> Niêm yết công khai tại </w:t>
      </w:r>
      <w:r w:rsidR="00D15207">
        <w:t>trường</w:t>
      </w:r>
      <w:r w:rsidR="006C2135" w:rsidRPr="006C2135">
        <w:t xml:space="preserve">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rsidR="006C2135" w:rsidRDefault="00FB3B96" w:rsidP="006C2135">
      <w:r>
        <w:t xml:space="preserve">- </w:t>
      </w:r>
      <w:r w:rsidR="002724D9" w:rsidRPr="002724D9">
        <w:t xml:space="preserve">Phổ biến trong cuộc họp cha mẹ học sinh hoặc phát tài liệu cho cha mẹ học sinh trước khi </w:t>
      </w:r>
      <w:r w:rsidR="00D15207">
        <w:t>nhà trường</w:t>
      </w:r>
      <w:r w:rsidR="002724D9" w:rsidRPr="002724D9">
        <w:t xml:space="preserve"> tuyển sinh đối với học sinh tuyển mới.</w:t>
      </w:r>
    </w:p>
    <w:p w:rsidR="002724D9" w:rsidRDefault="00FB3B96" w:rsidP="002724D9">
      <w:pPr>
        <w:pStyle w:val="TOC1"/>
      </w:pPr>
      <w:r>
        <w:t xml:space="preserve">- </w:t>
      </w:r>
      <w:r w:rsidR="002724D9" w:rsidRPr="002724D9">
        <w:t>Phổ biến hoặc phát tài liệu cho cha mẹ học sinh trước khi tổ chức họp cha mẹ học sinh vào đầu năm học mới</w:t>
      </w:r>
      <w:r w:rsidR="00460DC0">
        <w:t>.</w:t>
      </w:r>
    </w:p>
    <w:p w:rsidR="002724D9" w:rsidRPr="00CD32F9" w:rsidRDefault="00FA1A05" w:rsidP="002724D9">
      <w:pPr>
        <w:rPr>
          <w:b/>
        </w:rPr>
      </w:pPr>
      <w:r w:rsidRPr="00CD32F9">
        <w:rPr>
          <w:b/>
        </w:rPr>
        <w:t xml:space="preserve">2. </w:t>
      </w:r>
      <w:r w:rsidR="00325A1D" w:rsidRPr="00CD32F9">
        <w:rPr>
          <w:b/>
        </w:rPr>
        <w:t>Đối với các nội dung quy định tại Thông tư số 61/2017/TT-BTC ngày 15 tháng 6 năm 2017 của Bộ Tài chính</w:t>
      </w:r>
    </w:p>
    <w:p w:rsidR="00FB3B96" w:rsidRDefault="00FB3B96" w:rsidP="004B09C2">
      <w:pPr>
        <w:spacing w:before="120" w:after="120"/>
      </w:pPr>
      <w:r>
        <w:t>-</w:t>
      </w:r>
      <w:r w:rsidR="004B09C2">
        <w:t xml:space="preserve"> Hình thức công khai: </w:t>
      </w:r>
    </w:p>
    <w:p w:rsidR="006C2135" w:rsidRDefault="00FB3B96" w:rsidP="004B09C2">
      <w:pPr>
        <w:spacing w:before="120" w:after="120"/>
      </w:pPr>
      <w:r>
        <w:t>T</w:t>
      </w:r>
      <w:r w:rsidR="004B09C2">
        <w:t>hực hiện bằng một hoặc một số hình thức quy định tại điểm b khoản 1 Điều 15 của Luật Ngân sách nhà nước, thực hiện công khai ngân sách qua Cổng thông tin điện tử của trường.</w:t>
      </w:r>
    </w:p>
    <w:p w:rsidR="00B458B8" w:rsidRDefault="00FB3B96" w:rsidP="00B458B8">
      <w:pPr>
        <w:pStyle w:val="TOC1"/>
      </w:pPr>
      <w:r>
        <w:t>-</w:t>
      </w:r>
      <w:r w:rsidR="00B458B8">
        <w:t xml:space="preserve"> Thời điểm công khai:</w:t>
      </w:r>
    </w:p>
    <w:p w:rsidR="00B458B8" w:rsidRDefault="00FB3B96" w:rsidP="00B458B8">
      <w:pPr>
        <w:pStyle w:val="TOC1"/>
      </w:pPr>
      <w:r>
        <w:t>+</w:t>
      </w:r>
      <w:r w:rsidR="00B458B8">
        <w:t xml:space="preserve"> Báo cáo dự toán ngân sách nhà nước được công khai chậm nhất là 15 ngày, kể từ ngày được đơn vị dự toán cấp trên hoặc cấp có thẩm quyền giao đầu năm và điều chỉnh giảm hoặc bổ sung trong năm (nếu có).</w:t>
      </w:r>
    </w:p>
    <w:p w:rsidR="00B458B8" w:rsidRDefault="00FB3B96" w:rsidP="00B458B8">
      <w:pPr>
        <w:pStyle w:val="TOC1"/>
      </w:pPr>
      <w:r>
        <w:lastRenderedPageBreak/>
        <w:t>+</w:t>
      </w:r>
      <w:r w:rsidR="00B458B8">
        <w:t xml:space="preserve"> Báo cáo tình hình thực hiện dự toán ngân sách nhà nước hằng quý, 6 tháng được công khai chậm nhất là 15 ng</w:t>
      </w:r>
      <w:r w:rsidR="00E95D7B">
        <w:t xml:space="preserve">ày, kể từ ngày kết thúc quý và </w:t>
      </w:r>
      <w:r w:rsidR="00B458B8">
        <w:t>6 tháng.</w:t>
      </w:r>
    </w:p>
    <w:p w:rsidR="00B458B8" w:rsidRDefault="00FB3B96" w:rsidP="00B458B8">
      <w:pPr>
        <w:pStyle w:val="TOC1"/>
      </w:pPr>
      <w:r>
        <w:t>+</w:t>
      </w:r>
      <w:r w:rsidR="00B458B8">
        <w:t xml:space="preserve"> Báo cáo tình hình thực hiện ngân sách nhà nước hàng năm được công khai chậm nhất là 05 ngày làm việc, kể từ ngày đơn vị báo cáo đơn vị dự toán cấp trên trực tiếp.</w:t>
      </w:r>
    </w:p>
    <w:p w:rsidR="00325A1D" w:rsidRPr="00325A1D" w:rsidRDefault="00FB3B96" w:rsidP="00B458B8">
      <w:pPr>
        <w:pStyle w:val="TOC1"/>
      </w:pPr>
      <w:r>
        <w:t>+</w:t>
      </w:r>
      <w:r w:rsidR="00B458B8">
        <w:t xml:space="preserve"> Báo cáo quyết toán ngân sách nhà nước phải được công khai chậm nhất là 15 ngày, kể từ ngày được đơn vị dự toán cấp trên hoặc cấp có thẩm quyền phê duyệt.</w:t>
      </w:r>
    </w:p>
    <w:p w:rsidR="006C2135" w:rsidRPr="00CD32F9" w:rsidRDefault="00CD32F9" w:rsidP="007004E2">
      <w:pPr>
        <w:spacing w:before="120" w:after="120"/>
        <w:rPr>
          <w:b/>
        </w:rPr>
      </w:pPr>
      <w:r>
        <w:rPr>
          <w:b/>
        </w:rPr>
        <w:t>3</w:t>
      </w:r>
      <w:r w:rsidR="00D34F51" w:rsidRPr="00CD32F9">
        <w:rPr>
          <w:b/>
        </w:rPr>
        <w:t>. Đối với các nội dung quy định tại Thông tư số 61/2017/TT-BTC ngày 15 tháng 6 năm 2017 của Bộ Tài chính</w:t>
      </w:r>
    </w:p>
    <w:p w:rsidR="00D34F51" w:rsidRDefault="0023366A" w:rsidP="00D34F51">
      <w:pPr>
        <w:pStyle w:val="TOC1"/>
      </w:pPr>
      <w:r>
        <w:t xml:space="preserve">Thực hiện công khai tương tự như quy định tại </w:t>
      </w:r>
      <w:r w:rsidRPr="002A110A">
        <w:t>Thông tư số 61/2017/TT-BTC ngày 15 tháng 6 năm 2017 của Bộ Tài chính</w:t>
      </w:r>
    </w:p>
    <w:p w:rsidR="007004E2" w:rsidRPr="00A67CF2" w:rsidRDefault="001848AB" w:rsidP="007004E2">
      <w:pPr>
        <w:spacing w:before="120" w:after="120"/>
        <w:rPr>
          <w:b/>
          <w:bCs/>
        </w:rPr>
      </w:pPr>
      <w:r>
        <w:rPr>
          <w:b/>
          <w:bCs/>
        </w:rPr>
        <w:t>I</w:t>
      </w:r>
      <w:r w:rsidR="007004E2" w:rsidRPr="00A67CF2">
        <w:rPr>
          <w:b/>
          <w:bCs/>
        </w:rPr>
        <w:t>V</w:t>
      </w:r>
      <w:r w:rsidR="007D1804">
        <w:rPr>
          <w:b/>
          <w:bCs/>
        </w:rPr>
        <w:t>. TỔ CHỨC THỰC HIỆN</w:t>
      </w:r>
    </w:p>
    <w:p w:rsidR="007D1804" w:rsidRDefault="002A67C2" w:rsidP="007D1804">
      <w:pPr>
        <w:spacing w:before="120" w:after="120"/>
      </w:pPr>
      <w:r>
        <w:t xml:space="preserve">- Hiệu trưởng </w:t>
      </w:r>
      <w:r w:rsidR="007D1804">
        <w:t xml:space="preserve">nhà trường </w:t>
      </w:r>
      <w:r>
        <w:t>chịu trách nhiệm tổ chức thực hiện các nội dung, hình thức và thời điểm công khai theo quy định. Thực hiện tổng kết, đánh giá công tác công khai nhằm hoàn thiện và nâng cao hiệu quả công tác quản lý</w:t>
      </w:r>
    </w:p>
    <w:p w:rsidR="007D1804" w:rsidRDefault="007D1804" w:rsidP="007D1804">
      <w:pPr>
        <w:spacing w:before="120" w:after="120"/>
      </w:pPr>
      <w:r>
        <w:t>- Các tổ chức, cá nhân trong nhà trường thực hiện và phối hợp thực hiện tốt các yêu cầu có li</w:t>
      </w:r>
      <w:r w:rsidR="00F502FD">
        <w:t>ê</w:t>
      </w:r>
      <w:r>
        <w:t>n quan đến c</w:t>
      </w:r>
      <w:r w:rsidR="00F502FD">
        <w:t>ô</w:t>
      </w:r>
      <w:r>
        <w:t>ng tác công khai của nhà trường</w:t>
      </w:r>
    </w:p>
    <w:p w:rsidR="00F030CB" w:rsidRDefault="007004E2" w:rsidP="00F030CB">
      <w:pPr>
        <w:spacing w:before="120" w:after="120"/>
        <w:rPr>
          <w:sz w:val="26"/>
          <w:szCs w:val="26"/>
        </w:rPr>
      </w:pPr>
      <w:r w:rsidRPr="00BF326D">
        <w:t xml:space="preserve">Trên đây là kế hoạch </w:t>
      </w:r>
      <w:r w:rsidR="00FF7202">
        <w:t>t</w:t>
      </w:r>
      <w:r w:rsidRPr="00BF326D">
        <w:t xml:space="preserve">hực hiện công khai của trường </w:t>
      </w:r>
      <w:r w:rsidR="00F030CB">
        <w:rPr>
          <w:sz w:val="26"/>
          <w:szCs w:val="26"/>
        </w:rPr>
        <w:t xml:space="preserve">TH </w:t>
      </w:r>
      <w:r w:rsidR="00DD0B0D">
        <w:rPr>
          <w:sz w:val="26"/>
          <w:szCs w:val="26"/>
        </w:rPr>
        <w:t>Hứa</w:t>
      </w:r>
      <w:r w:rsidR="00DD0B0D">
        <w:rPr>
          <w:sz w:val="26"/>
          <w:szCs w:val="26"/>
          <w:lang w:val="vi-VN"/>
        </w:rPr>
        <w:t xml:space="preserve"> Tạo,</w:t>
      </w:r>
      <w:r w:rsidR="00F030CB">
        <w:rPr>
          <w:sz w:val="26"/>
          <w:szCs w:val="26"/>
        </w:rPr>
        <w:t xml:space="preserve"> nhà trường đề nghị các bộ phận công tác, các tổ chuyên môn và toàn thể đội  ngũ cán bộ, giáo viên, nhân viên, học sinh của trường triển khai thực hiện. Trong quá trình thực hiện nếu có những vấn đề nảy sinh cần báo cáo về lãnh đạo nhà trường để kịp thời giải quyết./.</w:t>
      </w:r>
    </w:p>
    <w:tbl>
      <w:tblPr>
        <w:tblW w:w="9925" w:type="dxa"/>
        <w:tblInd w:w="-176" w:type="dxa"/>
        <w:tblLook w:val="01E0" w:firstRow="1" w:lastRow="1" w:firstColumn="1" w:lastColumn="1" w:noHBand="0" w:noVBand="0"/>
      </w:tblPr>
      <w:tblGrid>
        <w:gridCol w:w="4964"/>
        <w:gridCol w:w="4961"/>
      </w:tblGrid>
      <w:tr w:rsidR="00F030CB" w:rsidTr="00F030CB">
        <w:tc>
          <w:tcPr>
            <w:tcW w:w="4964" w:type="dxa"/>
            <w:hideMark/>
          </w:tcPr>
          <w:p w:rsidR="00F030CB" w:rsidRDefault="00F030CB">
            <w:pPr>
              <w:widowControl w:val="0"/>
              <w:tabs>
                <w:tab w:val="left" w:pos="3686"/>
              </w:tabs>
              <w:spacing w:after="0"/>
              <w:rPr>
                <w:rFonts w:eastAsia="Calibri"/>
                <w:b/>
                <w:i/>
                <w:sz w:val="24"/>
              </w:rPr>
            </w:pPr>
            <w:r>
              <w:rPr>
                <w:b/>
                <w:i/>
                <w:sz w:val="24"/>
              </w:rPr>
              <w:t>Nơi nhận:</w:t>
            </w:r>
          </w:p>
          <w:p w:rsidR="00F030CB" w:rsidRDefault="00F030CB">
            <w:pPr>
              <w:widowControl w:val="0"/>
              <w:tabs>
                <w:tab w:val="left" w:pos="3686"/>
              </w:tabs>
              <w:spacing w:after="0"/>
              <w:ind w:firstLine="175"/>
              <w:rPr>
                <w:spacing w:val="-4"/>
                <w:w w:val="95"/>
                <w:sz w:val="22"/>
              </w:rPr>
            </w:pPr>
            <w:r>
              <w:rPr>
                <w:spacing w:val="-4"/>
                <w:w w:val="95"/>
              </w:rPr>
              <w:t>- Phòng GDĐT;</w:t>
            </w:r>
          </w:p>
          <w:p w:rsidR="00F030CB" w:rsidRDefault="00F030CB">
            <w:pPr>
              <w:widowControl w:val="0"/>
              <w:tabs>
                <w:tab w:val="left" w:pos="3686"/>
              </w:tabs>
              <w:spacing w:after="0"/>
              <w:ind w:firstLine="175"/>
              <w:rPr>
                <w:spacing w:val="-4"/>
                <w:w w:val="95"/>
              </w:rPr>
            </w:pPr>
            <w:r>
              <w:rPr>
                <w:spacing w:val="-4"/>
                <w:w w:val="95"/>
              </w:rPr>
              <w:t>- Các Tổ CM;</w:t>
            </w:r>
          </w:p>
          <w:p w:rsidR="00F030CB" w:rsidRDefault="00F030CB">
            <w:pPr>
              <w:widowControl w:val="0"/>
              <w:tabs>
                <w:tab w:val="left" w:pos="3686"/>
              </w:tabs>
              <w:spacing w:after="0"/>
              <w:ind w:firstLine="175"/>
              <w:rPr>
                <w:spacing w:val="-4"/>
                <w:w w:val="95"/>
              </w:rPr>
            </w:pPr>
            <w:r>
              <w:rPr>
                <w:spacing w:val="-4"/>
                <w:w w:val="95"/>
              </w:rPr>
              <w:t>- Các bộ phận công tác;</w:t>
            </w:r>
          </w:p>
          <w:p w:rsidR="00F030CB" w:rsidRDefault="00F030CB">
            <w:pPr>
              <w:widowControl w:val="0"/>
              <w:tabs>
                <w:tab w:val="left" w:pos="3686"/>
              </w:tabs>
              <w:spacing w:after="0"/>
              <w:ind w:firstLine="175"/>
              <w:rPr>
                <w:rFonts w:eastAsia="Calibri"/>
                <w:i/>
              </w:rPr>
            </w:pPr>
            <w:r>
              <w:rPr>
                <w:spacing w:val="-4"/>
                <w:w w:val="95"/>
              </w:rPr>
              <w:t>- Lưu VT.</w:t>
            </w:r>
          </w:p>
        </w:tc>
        <w:tc>
          <w:tcPr>
            <w:tcW w:w="4961" w:type="dxa"/>
          </w:tcPr>
          <w:p w:rsidR="00F030CB" w:rsidRDefault="00F030CB">
            <w:pPr>
              <w:widowControl w:val="0"/>
              <w:tabs>
                <w:tab w:val="left" w:pos="3686"/>
              </w:tabs>
              <w:spacing w:after="0"/>
              <w:jc w:val="center"/>
              <w:rPr>
                <w:rFonts w:eastAsia="Calibri"/>
                <w:b/>
              </w:rPr>
            </w:pPr>
            <w:r>
              <w:rPr>
                <w:b/>
              </w:rPr>
              <w:t>HIỆU TRƯỞNG</w:t>
            </w:r>
          </w:p>
          <w:p w:rsidR="00F030CB" w:rsidRDefault="00F030CB">
            <w:pPr>
              <w:widowControl w:val="0"/>
              <w:tabs>
                <w:tab w:val="left" w:pos="3686"/>
              </w:tabs>
              <w:spacing w:after="0"/>
              <w:jc w:val="center"/>
              <w:rPr>
                <w:i/>
              </w:rPr>
            </w:pPr>
            <w:r>
              <w:rPr>
                <w:i/>
              </w:rPr>
              <w:t>Đã ký</w:t>
            </w:r>
          </w:p>
          <w:p w:rsidR="00F030CB" w:rsidRDefault="00F030CB">
            <w:pPr>
              <w:widowControl w:val="0"/>
              <w:tabs>
                <w:tab w:val="left" w:pos="1065"/>
                <w:tab w:val="left" w:pos="3686"/>
              </w:tabs>
              <w:spacing w:after="0"/>
            </w:pPr>
            <w:r>
              <w:tab/>
            </w:r>
          </w:p>
          <w:p w:rsidR="00F030CB" w:rsidRDefault="00F030CB">
            <w:pPr>
              <w:widowControl w:val="0"/>
              <w:tabs>
                <w:tab w:val="left" w:pos="1065"/>
                <w:tab w:val="left" w:pos="3686"/>
              </w:tabs>
              <w:spacing w:after="0"/>
              <w:jc w:val="center"/>
              <w:rPr>
                <w:sz w:val="26"/>
              </w:rPr>
            </w:pPr>
          </w:p>
          <w:p w:rsidR="00F030CB" w:rsidRDefault="00F030CB">
            <w:pPr>
              <w:widowControl w:val="0"/>
              <w:tabs>
                <w:tab w:val="left" w:pos="3686"/>
              </w:tabs>
              <w:spacing w:after="0"/>
              <w:jc w:val="center"/>
              <w:rPr>
                <w:i/>
              </w:rPr>
            </w:pPr>
          </w:p>
          <w:p w:rsidR="00F030CB" w:rsidRDefault="00F030CB" w:rsidP="00AD4CD9">
            <w:pPr>
              <w:widowControl w:val="0"/>
              <w:tabs>
                <w:tab w:val="left" w:pos="3686"/>
              </w:tabs>
              <w:spacing w:after="0"/>
              <w:ind w:left="175"/>
              <w:jc w:val="center"/>
              <w:rPr>
                <w:rFonts w:eastAsia="Calibri"/>
                <w:b/>
              </w:rPr>
            </w:pPr>
            <w:r>
              <w:rPr>
                <w:b/>
              </w:rPr>
              <w:t xml:space="preserve">Nguyễn </w:t>
            </w:r>
            <w:r w:rsidR="00AD4CD9">
              <w:rPr>
                <w:b/>
              </w:rPr>
              <w:t xml:space="preserve">Văn </w:t>
            </w:r>
            <w:r w:rsidR="00DD0B0D">
              <w:rPr>
                <w:b/>
              </w:rPr>
              <w:t>Mua</w:t>
            </w:r>
            <w:bookmarkStart w:id="0" w:name="_GoBack"/>
            <w:bookmarkEnd w:id="0"/>
          </w:p>
        </w:tc>
      </w:tr>
    </w:tbl>
    <w:p w:rsidR="00F030CB" w:rsidRDefault="00F030CB" w:rsidP="00F030CB">
      <w:pPr>
        <w:tabs>
          <w:tab w:val="center" w:pos="7088"/>
        </w:tabs>
        <w:spacing w:after="0"/>
        <w:rPr>
          <w:rFonts w:eastAsia="Calibri"/>
          <w:b/>
          <w:color w:val="FF0000"/>
        </w:rPr>
      </w:pPr>
    </w:p>
    <w:sectPr w:rsidR="00F030CB" w:rsidSect="0066100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E2"/>
    <w:rsid w:val="00093E4E"/>
    <w:rsid w:val="001848AB"/>
    <w:rsid w:val="001D3BC7"/>
    <w:rsid w:val="001E7692"/>
    <w:rsid w:val="0023366A"/>
    <w:rsid w:val="00267CBC"/>
    <w:rsid w:val="002724D9"/>
    <w:rsid w:val="002A110A"/>
    <w:rsid w:val="002A67C2"/>
    <w:rsid w:val="002D5C0B"/>
    <w:rsid w:val="002F1C92"/>
    <w:rsid w:val="0032128C"/>
    <w:rsid w:val="00325A1D"/>
    <w:rsid w:val="003D0596"/>
    <w:rsid w:val="003D25BA"/>
    <w:rsid w:val="003E4287"/>
    <w:rsid w:val="003E66A3"/>
    <w:rsid w:val="00460DC0"/>
    <w:rsid w:val="004B09C2"/>
    <w:rsid w:val="004C30EC"/>
    <w:rsid w:val="004C4FAE"/>
    <w:rsid w:val="004D0BBC"/>
    <w:rsid w:val="004D66E5"/>
    <w:rsid w:val="004F4EAB"/>
    <w:rsid w:val="00521DDB"/>
    <w:rsid w:val="00523DD9"/>
    <w:rsid w:val="00530EED"/>
    <w:rsid w:val="00572998"/>
    <w:rsid w:val="006C2135"/>
    <w:rsid w:val="006D5736"/>
    <w:rsid w:val="007004E2"/>
    <w:rsid w:val="007D1804"/>
    <w:rsid w:val="007F3403"/>
    <w:rsid w:val="00820BD6"/>
    <w:rsid w:val="008B04AC"/>
    <w:rsid w:val="00914A0D"/>
    <w:rsid w:val="009325F6"/>
    <w:rsid w:val="00AD4CD9"/>
    <w:rsid w:val="00B12C60"/>
    <w:rsid w:val="00B458B8"/>
    <w:rsid w:val="00C775E3"/>
    <w:rsid w:val="00CD32F9"/>
    <w:rsid w:val="00D03AC2"/>
    <w:rsid w:val="00D15207"/>
    <w:rsid w:val="00D205BA"/>
    <w:rsid w:val="00D34F51"/>
    <w:rsid w:val="00DD0B0D"/>
    <w:rsid w:val="00DF3AC4"/>
    <w:rsid w:val="00DF693D"/>
    <w:rsid w:val="00E95D7B"/>
    <w:rsid w:val="00F016D0"/>
    <w:rsid w:val="00F030CB"/>
    <w:rsid w:val="00F245FC"/>
    <w:rsid w:val="00F502FD"/>
    <w:rsid w:val="00FA09EE"/>
    <w:rsid w:val="00FA1A05"/>
    <w:rsid w:val="00FB3B96"/>
    <w:rsid w:val="00FE3D5B"/>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autoRedefine/>
    <w:qFormat/>
    <w:rsid w:val="007004E2"/>
    <w:pPr>
      <w:shd w:val="clear" w:color="auto" w:fill="FFFFFF"/>
      <w:tabs>
        <w:tab w:val="left" w:pos="720"/>
        <w:tab w:val="left" w:pos="900"/>
        <w:tab w:val="left" w:pos="5760"/>
      </w:tabs>
      <w:spacing w:before="60" w:after="60" w:line="240" w:lineRule="auto"/>
      <w:ind w:right="-45" w:firstLine="720"/>
      <w:jc w:val="both"/>
      <w:outlineLvl w:val="1"/>
    </w:pPr>
    <w:rPr>
      <w:rFonts w:ascii="Times New Roman" w:eastAsia="Times New Roman" w:hAnsi="Times New Roman" w:cs="Times New Roman"/>
      <w:spacing w:val="-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7004E2"/>
    <w:pPr>
      <w:tabs>
        <w:tab w:val="clear" w:pos="720"/>
        <w:tab w:val="clear" w:pos="900"/>
        <w:tab w:val="clear" w:pos="5760"/>
      </w:tabs>
      <w:spacing w:after="100"/>
    </w:pPr>
  </w:style>
  <w:style w:type="paragraph" w:styleId="ListParagraph">
    <w:name w:val="List Paragraph"/>
    <w:basedOn w:val="Normal"/>
    <w:uiPriority w:val="34"/>
    <w:qFormat/>
    <w:rsid w:val="00914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autoRedefine/>
    <w:qFormat/>
    <w:rsid w:val="007004E2"/>
    <w:pPr>
      <w:shd w:val="clear" w:color="auto" w:fill="FFFFFF"/>
      <w:tabs>
        <w:tab w:val="left" w:pos="720"/>
        <w:tab w:val="left" w:pos="900"/>
        <w:tab w:val="left" w:pos="5760"/>
      </w:tabs>
      <w:spacing w:before="60" w:after="60" w:line="240" w:lineRule="auto"/>
      <w:ind w:right="-45" w:firstLine="720"/>
      <w:jc w:val="both"/>
      <w:outlineLvl w:val="1"/>
    </w:pPr>
    <w:rPr>
      <w:rFonts w:ascii="Times New Roman" w:eastAsia="Times New Roman" w:hAnsi="Times New Roman" w:cs="Times New Roman"/>
      <w:spacing w:val="-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7004E2"/>
    <w:pPr>
      <w:tabs>
        <w:tab w:val="clear" w:pos="720"/>
        <w:tab w:val="clear" w:pos="900"/>
        <w:tab w:val="clear" w:pos="5760"/>
      </w:tabs>
      <w:spacing w:after="100"/>
    </w:pPr>
  </w:style>
  <w:style w:type="paragraph" w:styleId="ListParagraph">
    <w:name w:val="List Paragraph"/>
    <w:basedOn w:val="Normal"/>
    <w:uiPriority w:val="34"/>
    <w:qFormat/>
    <w:rsid w:val="00914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55</cp:revision>
  <dcterms:created xsi:type="dcterms:W3CDTF">2021-03-08T07:28:00Z</dcterms:created>
  <dcterms:modified xsi:type="dcterms:W3CDTF">2023-09-14T09:17:00Z</dcterms:modified>
</cp:coreProperties>
</file>